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B" w:rsidRDefault="001E3C25" w:rsidP="001B3C0C">
      <w:pPr>
        <w:framePr w:wrap="none" w:vAnchor="page" w:hAnchor="page" w:x="406" w:y="1291"/>
        <w:rPr>
          <w:sz w:val="2"/>
          <w:szCs w:val="2"/>
        </w:rPr>
      </w:pPr>
      <w:r>
        <w:fldChar w:fldCharType="begin"/>
      </w:r>
      <w:r>
        <w:instrText xml:space="preserve"> INCLUDEPICTURE  "C:\\Users\\Олег\\Desktop\\Документы\\ДОКУМЕНТЫ\\Мероприятия\\2015 год\\media\\image1.jpeg" \* MERGEFORMATINET </w:instrText>
      </w:r>
      <w:r>
        <w:fldChar w:fldCharType="separate"/>
      </w:r>
      <w:r w:rsidR="006D78CA">
        <w:fldChar w:fldCharType="begin"/>
      </w:r>
      <w:r w:rsidR="006D78CA">
        <w:instrText xml:space="preserve"> INCLUDEPICTURE  "C:\\Users\\Олег\\Desktop\\Документы\\ДОКУМЕНТЫ\\Мероприятия\\2015 год\\media\\image1.jpeg" \* MERGEFORMATINET </w:instrText>
      </w:r>
      <w:r w:rsidR="006D78CA">
        <w:fldChar w:fldCharType="separate"/>
      </w:r>
      <w:r w:rsidR="000E73B5">
        <w:fldChar w:fldCharType="begin"/>
      </w:r>
      <w:r w:rsidR="000E73B5">
        <w:instrText xml:space="preserve"> </w:instrText>
      </w:r>
      <w:r w:rsidR="000E73B5">
        <w:instrText>INCLUDEPICTURE  "C:\\Users\\Олег\\Desktop\\Документы\\ДОКУМЕНТЫ\\Мероприятия\\2015 год\\media\\image1.jpeg" \* MERGEFORMATINET</w:instrText>
      </w:r>
      <w:r w:rsidR="000E73B5">
        <w:instrText xml:space="preserve"> </w:instrText>
      </w:r>
      <w:r w:rsidR="000E73B5">
        <w:fldChar w:fldCharType="separate"/>
      </w:r>
      <w:r w:rsidR="000E73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368.25pt">
            <v:imagedata r:id="rId8" r:href="rId9"/>
          </v:shape>
        </w:pict>
      </w:r>
      <w:r w:rsidR="000E73B5">
        <w:fldChar w:fldCharType="end"/>
      </w:r>
      <w:r w:rsidR="006D78CA">
        <w:fldChar w:fldCharType="end"/>
      </w:r>
      <w:r>
        <w:fldChar w:fldCharType="end"/>
      </w:r>
    </w:p>
    <w:p w:rsidR="000534BB" w:rsidRDefault="000534BB">
      <w:pPr>
        <w:rPr>
          <w:sz w:val="2"/>
          <w:szCs w:val="2"/>
        </w:rPr>
        <w:sectPr w:rsidR="000534BB" w:rsidSect="001B3C0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534BB" w:rsidRDefault="001E3C25" w:rsidP="009F7D3D">
      <w:pPr>
        <w:pStyle w:val="30"/>
        <w:shd w:val="clear" w:color="auto" w:fill="auto"/>
        <w:ind w:left="20"/>
      </w:pPr>
      <w:r>
        <w:lastRenderedPageBreak/>
        <w:t>1. Цели и задачи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Первенство Саратовской области по хоккею с шайбой среди сельских команд (далее - Соревнования) проводится в целях: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 w:right="20"/>
        <w:jc w:val="left"/>
      </w:pPr>
      <w:r>
        <w:t xml:space="preserve"> массового привлечения детей и подростков к систематическим занятиям физической культурой и спортом в сельской местности;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оздоровления подрастающего поколения;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профилактики правонарушений;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spacing w:after="180"/>
        <w:ind w:left="20" w:right="20"/>
        <w:jc w:val="left"/>
      </w:pPr>
      <w:r>
        <w:t xml:space="preserve"> выявления одаренных юных хоккеистов, сильнейших сельских детских хоккейных команд.</w:t>
      </w:r>
    </w:p>
    <w:p w:rsidR="000534BB" w:rsidRDefault="001E3C25" w:rsidP="009F7D3D">
      <w:pPr>
        <w:pStyle w:val="30"/>
        <w:shd w:val="clear" w:color="auto" w:fill="auto"/>
        <w:ind w:left="20"/>
      </w:pPr>
      <w:r>
        <w:t>2. Место и сроки проведения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 xml:space="preserve">Соревнования проводятся в период с 17 по 20 декабря 2015 года на хоккейном стадионе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Нижняя</w:t>
      </w:r>
      <w:proofErr w:type="gramEnd"/>
      <w:r>
        <w:t xml:space="preserve"> Чернавка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области.</w:t>
      </w:r>
    </w:p>
    <w:p w:rsidR="000534BB" w:rsidRDefault="001E3C25" w:rsidP="009F7D3D">
      <w:pPr>
        <w:pStyle w:val="40"/>
        <w:shd w:val="clear" w:color="auto" w:fill="auto"/>
        <w:ind w:left="20" w:firstLine="700"/>
      </w:pPr>
      <w:r>
        <w:t>День приезда - 18 декабря 2015 года.</w:t>
      </w:r>
    </w:p>
    <w:p w:rsidR="000534BB" w:rsidRDefault="001E3C25" w:rsidP="009F7D3D">
      <w:pPr>
        <w:pStyle w:val="40"/>
        <w:shd w:val="clear" w:color="auto" w:fill="auto"/>
        <w:spacing w:after="180"/>
        <w:ind w:left="20" w:firstLine="700"/>
      </w:pPr>
      <w:r>
        <w:t>Открытие соревнований - 19 декабря 2015 года в 12.00.</w:t>
      </w:r>
    </w:p>
    <w:p w:rsidR="000534BB" w:rsidRDefault="001E3C25" w:rsidP="009F7D3D">
      <w:pPr>
        <w:pStyle w:val="30"/>
        <w:shd w:val="clear" w:color="auto" w:fill="auto"/>
        <w:ind w:left="20"/>
      </w:pPr>
      <w:r>
        <w:t>3. Руководство проведением соревнований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Общее руководство осуществляется министерством молодежной политики, спорта и туризма области.</w:t>
      </w:r>
    </w:p>
    <w:p w:rsidR="000534BB" w:rsidRDefault="001E3C25" w:rsidP="009F7D3D">
      <w:pPr>
        <w:pStyle w:val="40"/>
        <w:shd w:val="clear" w:color="auto" w:fill="auto"/>
        <w:spacing w:after="180"/>
        <w:ind w:left="20" w:right="20" w:firstLine="700"/>
      </w:pPr>
      <w:r>
        <w:t>Непосредственное проведение Соревнований возлагается на ГБУ «Саратовский областной физкультурно-спортивный центр «Урожай» и главную судейскую коллегию.</w:t>
      </w:r>
    </w:p>
    <w:p w:rsidR="000534BB" w:rsidRDefault="001E3C25" w:rsidP="009F7D3D">
      <w:pPr>
        <w:pStyle w:val="30"/>
        <w:shd w:val="clear" w:color="auto" w:fill="auto"/>
        <w:ind w:left="3840"/>
        <w:jc w:val="left"/>
      </w:pPr>
      <w:r>
        <w:t>4. Участники соревнований</w:t>
      </w:r>
    </w:p>
    <w:p w:rsidR="000534BB" w:rsidRDefault="001E3C25" w:rsidP="009F7D3D">
      <w:pPr>
        <w:pStyle w:val="40"/>
        <w:shd w:val="clear" w:color="auto" w:fill="auto"/>
        <w:ind w:left="20" w:firstLine="700"/>
      </w:pPr>
      <w:r>
        <w:t>Соревнования проводятся среди младших юношей 2005-2006 года рождения.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В соревнованиях принимают участие команды сельских и поселковых муниципальных образований Саратовской области. Игроки данных команд должны иметь прописку в представляемых муниципальных образованиях.</w:t>
      </w:r>
    </w:p>
    <w:p w:rsidR="000534BB" w:rsidRDefault="001E3C25" w:rsidP="009F7D3D">
      <w:pPr>
        <w:pStyle w:val="40"/>
        <w:shd w:val="clear" w:color="auto" w:fill="auto"/>
        <w:ind w:left="20" w:firstLine="700"/>
      </w:pPr>
      <w:r>
        <w:t>К соревнованиям не допускаются: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учащиеся специализированных классов и групп по хоккею учебных заведений;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 w:right="20"/>
        <w:jc w:val="left"/>
      </w:pPr>
      <w:r>
        <w:t xml:space="preserve"> воспитанники отделений хоккея ДЮСШ, СДЮШОР, ШВСМ и созданных при командах мастеров;</w:t>
      </w:r>
    </w:p>
    <w:p w:rsidR="000534BB" w:rsidRDefault="001E3C25" w:rsidP="009F7D3D">
      <w:pPr>
        <w:pStyle w:val="40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команды, неправильно оформившие документы.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В команде допускаются игроки младшего возраста при наличии специального разрешения врача в количестве 3-х человек.</w:t>
      </w:r>
    </w:p>
    <w:p w:rsidR="000534BB" w:rsidRDefault="001E3C25" w:rsidP="009F7D3D">
      <w:pPr>
        <w:pStyle w:val="40"/>
        <w:shd w:val="clear" w:color="auto" w:fill="auto"/>
        <w:spacing w:after="176"/>
        <w:ind w:left="20" w:right="20" w:firstLine="700"/>
      </w:pPr>
      <w:r>
        <w:t>Состав команды: 15 игроков (13 полевых игроков и 2 вратаря), 1 тренер, 1 представитель командирующей организации.</w:t>
      </w:r>
    </w:p>
    <w:p w:rsidR="000534BB" w:rsidRDefault="001E3C25" w:rsidP="009F7D3D">
      <w:pPr>
        <w:pStyle w:val="30"/>
        <w:shd w:val="clear" w:color="auto" w:fill="auto"/>
        <w:spacing w:line="322" w:lineRule="exact"/>
        <w:ind w:left="20"/>
      </w:pPr>
      <w:r>
        <w:t>5. Порядок и сроки подачи заявок</w:t>
      </w:r>
    </w:p>
    <w:p w:rsidR="000534BB" w:rsidRDefault="001E3C25" w:rsidP="009F7D3D">
      <w:pPr>
        <w:pStyle w:val="40"/>
        <w:shd w:val="clear" w:color="auto" w:fill="auto"/>
        <w:spacing w:line="322" w:lineRule="exact"/>
        <w:ind w:left="20" w:right="20" w:firstLine="700"/>
      </w:pPr>
      <w:r>
        <w:t>Заявки составляются в 2-х экземплярах: один экземпляр подается в ГБУ «Саратовский областной физкультурно-спортивный центр «Урожай» до 18 декабря 2015 года, второй - в главную судейскую коллегию (приложение).</w:t>
      </w:r>
    </w:p>
    <w:p w:rsidR="000534BB" w:rsidRDefault="001E3C25" w:rsidP="009F7D3D">
      <w:pPr>
        <w:pStyle w:val="40"/>
        <w:shd w:val="clear" w:color="auto" w:fill="auto"/>
        <w:spacing w:line="322" w:lineRule="exact"/>
        <w:ind w:left="20" w:firstLine="700"/>
      </w:pPr>
      <w:r>
        <w:t>Неуказанные в заявке игроки к соревнованиям не допускаются.</w:t>
      </w:r>
    </w:p>
    <w:p w:rsidR="000534BB" w:rsidRDefault="001E3C25" w:rsidP="009F7D3D">
      <w:pPr>
        <w:pStyle w:val="40"/>
        <w:shd w:val="clear" w:color="auto" w:fill="auto"/>
        <w:spacing w:line="322" w:lineRule="exact"/>
        <w:ind w:left="20" w:firstLine="700"/>
      </w:pPr>
      <w:r>
        <w:t>Заявочные взносы не предусмотрены.</w:t>
      </w:r>
    </w:p>
    <w:p w:rsidR="000534BB" w:rsidRDefault="000534BB">
      <w:pPr>
        <w:rPr>
          <w:sz w:val="2"/>
          <w:szCs w:val="2"/>
        </w:rPr>
        <w:sectPr w:rsidR="000534BB" w:rsidSect="009F7D3D">
          <w:pgSz w:w="11909" w:h="16838"/>
          <w:pgMar w:top="567" w:right="710" w:bottom="993" w:left="851" w:header="0" w:footer="3" w:gutter="0"/>
          <w:cols w:space="720"/>
          <w:noEndnote/>
          <w:docGrid w:linePitch="360"/>
        </w:sectPr>
      </w:pPr>
    </w:p>
    <w:p w:rsidR="000534BB" w:rsidRDefault="001E3C25" w:rsidP="009F7D3D">
      <w:pPr>
        <w:pStyle w:val="30"/>
        <w:shd w:val="clear" w:color="auto" w:fill="auto"/>
      </w:pPr>
      <w:r>
        <w:rPr>
          <w:rStyle w:val="30pt"/>
          <w:b/>
          <w:bCs/>
        </w:rPr>
        <w:lastRenderedPageBreak/>
        <w:t>6. Программа проведения и условия подведения итогов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Соревнования проводятся в соответствии с официальными правилами проведения соревнований по хоккею, утвержденными Министерством спорта Российской Федерации.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Система проведения определяется главными судейскими коллегиями на местах в зависимости от количества заявленных команд.</w:t>
      </w:r>
    </w:p>
    <w:p w:rsidR="000534BB" w:rsidRDefault="001E3C25" w:rsidP="009F7D3D">
      <w:pPr>
        <w:pStyle w:val="40"/>
        <w:shd w:val="clear" w:color="auto" w:fill="auto"/>
        <w:ind w:left="20" w:firstLine="700"/>
      </w:pPr>
      <w:r>
        <w:t>Продолжительность матча - 45 минут чистого времени (3 периода по 15 минут).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В случае завершения игр на всех этапах с результатом ничья,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дополнительное время заканчивается вничью, назначается 3 штрафных броска. Если они не выявляют победителя, штрафные броски продолжаются до первого преимущества одной из команд.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 xml:space="preserve">Победители определяются по наибольшему количеству очков, набранных во встречах </w:t>
      </w:r>
      <w:proofErr w:type="gramStart"/>
      <w:r>
        <w:t>за</w:t>
      </w:r>
      <w:proofErr w:type="gramEnd"/>
      <w:r>
        <w:t>: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победу - 3 очка;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победу в дополнительное время и в серии буллитов - 2 очка;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поражение в дополнительное время и в серии буллитов - 1 очко;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поражение в основное время - 0 очков;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неявку команды - техническое поражение.</w:t>
      </w:r>
    </w:p>
    <w:p w:rsidR="000534BB" w:rsidRDefault="001E3C25" w:rsidP="009F7D3D">
      <w:pPr>
        <w:pStyle w:val="40"/>
        <w:shd w:val="clear" w:color="auto" w:fill="auto"/>
        <w:ind w:left="20" w:firstLine="700"/>
      </w:pPr>
      <w:r>
        <w:t xml:space="preserve">В случае равенства очков у двух и более команд преимущество определяется </w:t>
      </w:r>
      <w:proofErr w:type="gramStart"/>
      <w:r>
        <w:t>по</w:t>
      </w:r>
      <w:proofErr w:type="gramEnd"/>
      <w:r>
        <w:t>: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результатам игр между собой (разница забитых и пропущенных шайб);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наибольшей разницей забитых и пропущенных шайб во всех встречах;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ind w:left="440" w:firstLine="0"/>
        <w:jc w:val="left"/>
      </w:pPr>
      <w:r>
        <w:t xml:space="preserve"> наибольшему количеству заброшенных шайб во всех встречах;</w:t>
      </w:r>
    </w:p>
    <w:p w:rsidR="000534BB" w:rsidRDefault="001E3C25" w:rsidP="009F7D3D">
      <w:pPr>
        <w:pStyle w:val="40"/>
        <w:numPr>
          <w:ilvl w:val="0"/>
          <w:numId w:val="2"/>
        </w:numPr>
        <w:shd w:val="clear" w:color="auto" w:fill="auto"/>
        <w:spacing w:after="184"/>
        <w:ind w:left="440" w:firstLine="0"/>
        <w:jc w:val="left"/>
      </w:pPr>
      <w:r>
        <w:t xml:space="preserve"> жребию.</w:t>
      </w:r>
    </w:p>
    <w:p w:rsidR="000534BB" w:rsidRDefault="001E3C25" w:rsidP="009F7D3D">
      <w:pPr>
        <w:pStyle w:val="30"/>
        <w:shd w:val="clear" w:color="auto" w:fill="auto"/>
        <w:spacing w:line="312" w:lineRule="exact"/>
      </w:pPr>
      <w:r>
        <w:rPr>
          <w:rStyle w:val="30pt"/>
          <w:b/>
          <w:bCs/>
        </w:rPr>
        <w:t>7. Финансовые условия</w:t>
      </w:r>
    </w:p>
    <w:p w:rsidR="000534BB" w:rsidRDefault="001E3C25" w:rsidP="009F7D3D">
      <w:pPr>
        <w:pStyle w:val="40"/>
        <w:shd w:val="clear" w:color="auto" w:fill="auto"/>
        <w:spacing w:line="312" w:lineRule="exact"/>
        <w:ind w:left="20" w:right="20" w:firstLine="700"/>
      </w:pPr>
      <w:r>
        <w:t>Расходы, связанные с командированием команд на соревнования (проезд, суточные в пути, питание в дни соревнований) несут командирующие организации (в соответствии с постановлением Правительства Саратовской области от 26 июня 2013 года № 316-П).</w:t>
      </w:r>
    </w:p>
    <w:p w:rsidR="000534BB" w:rsidRDefault="001E3C25" w:rsidP="009F7D3D">
      <w:pPr>
        <w:pStyle w:val="40"/>
        <w:shd w:val="clear" w:color="auto" w:fill="auto"/>
        <w:ind w:left="20" w:right="20" w:firstLine="700"/>
      </w:pPr>
      <w:r>
        <w:t>Страхование участников соревнований производится за счет бюджетов муниципальных районов области и внебюджетных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 Российской Федерации.</w:t>
      </w:r>
    </w:p>
    <w:p w:rsidR="000534BB" w:rsidRDefault="001E3C25" w:rsidP="009F7D3D">
      <w:pPr>
        <w:pStyle w:val="40"/>
        <w:shd w:val="clear" w:color="auto" w:fill="auto"/>
        <w:spacing w:after="188"/>
        <w:ind w:left="20" w:right="20" w:firstLine="700"/>
      </w:pPr>
      <w:r>
        <w:t>Министерство молодежной политики, спорта и туризма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 на 2014-2020 годы».</w:t>
      </w:r>
    </w:p>
    <w:p w:rsidR="000534BB" w:rsidRDefault="001E3C25" w:rsidP="009F7D3D">
      <w:pPr>
        <w:pStyle w:val="30"/>
        <w:shd w:val="clear" w:color="auto" w:fill="auto"/>
        <w:spacing w:line="307" w:lineRule="exact"/>
      </w:pPr>
      <w:r>
        <w:rPr>
          <w:rStyle w:val="30pt"/>
          <w:b/>
          <w:bCs/>
        </w:rPr>
        <w:t>8. Награждение</w:t>
      </w:r>
    </w:p>
    <w:p w:rsidR="000534BB" w:rsidRDefault="001E3C25" w:rsidP="009F7D3D">
      <w:pPr>
        <w:pStyle w:val="40"/>
        <w:shd w:val="clear" w:color="auto" w:fill="auto"/>
        <w:spacing w:line="307" w:lineRule="exact"/>
        <w:ind w:left="20" w:right="20" w:firstLine="700"/>
      </w:pPr>
      <w:r>
        <w:t xml:space="preserve">Команды, занявшие призовые места, награждаются кубками и </w:t>
      </w:r>
      <w:r w:rsidR="00D57034">
        <w:t>медалями ГБУ «СОФСЦ «Урожай»</w:t>
      </w:r>
      <w:r>
        <w:t>.</w:t>
      </w:r>
    </w:p>
    <w:p w:rsidR="000534BB" w:rsidRDefault="000534BB" w:rsidP="009F7D3D">
      <w:pPr>
        <w:pStyle w:val="40"/>
        <w:shd w:val="clear" w:color="auto" w:fill="auto"/>
        <w:spacing w:line="307" w:lineRule="exact"/>
        <w:ind w:left="20" w:right="20" w:firstLine="700"/>
      </w:pPr>
    </w:p>
    <w:p w:rsidR="000534BB" w:rsidRDefault="000534BB">
      <w:pPr>
        <w:rPr>
          <w:sz w:val="2"/>
          <w:szCs w:val="2"/>
        </w:rPr>
        <w:sectPr w:rsidR="000534BB" w:rsidSect="009F7D3D">
          <w:pgSz w:w="11909" w:h="16838"/>
          <w:pgMar w:top="567" w:right="569" w:bottom="0" w:left="851" w:header="0" w:footer="3" w:gutter="0"/>
          <w:cols w:space="720"/>
          <w:noEndnote/>
          <w:docGrid w:linePitch="360"/>
        </w:sectPr>
      </w:pPr>
    </w:p>
    <w:p w:rsidR="000534BB" w:rsidRDefault="001E3C25" w:rsidP="009F7D3D">
      <w:pPr>
        <w:pStyle w:val="30"/>
        <w:shd w:val="clear" w:color="auto" w:fill="auto"/>
      </w:pPr>
      <w:bookmarkStart w:id="0" w:name="_GoBack"/>
      <w:bookmarkEnd w:id="0"/>
      <w:r>
        <w:lastRenderedPageBreak/>
        <w:t>9. Обеспечение безопасности участников и зрителей турнира</w:t>
      </w:r>
    </w:p>
    <w:p w:rsidR="000534BB" w:rsidRDefault="001E3C25" w:rsidP="009F7D3D">
      <w:pPr>
        <w:pStyle w:val="40"/>
        <w:shd w:val="clear" w:color="auto" w:fill="auto"/>
        <w:ind w:left="20" w:right="20" w:firstLine="720"/>
      </w:pPr>
      <w:r>
        <w:rPr>
          <w:rStyle w:val="40pt"/>
        </w:rPr>
        <w:t>Соревнования проводятся в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объектов спорта к проведению мероприятий, утверждаемых в установленном порядке.</w:t>
      </w:r>
    </w:p>
    <w:p w:rsidR="000534BB" w:rsidRDefault="001E3C25" w:rsidP="009F7D3D">
      <w:pPr>
        <w:pStyle w:val="40"/>
        <w:shd w:val="clear" w:color="auto" w:fill="auto"/>
        <w:spacing w:after="180"/>
        <w:ind w:left="20" w:right="20" w:firstLine="720"/>
      </w:pPr>
      <w:r>
        <w:rPr>
          <w:rStyle w:val="40pt"/>
        </w:rPr>
        <w:t>Медицинское обслуживание участников соревнований обеспечивается за счет проводящей организации.</w:t>
      </w:r>
    </w:p>
    <w:p w:rsidR="000534BB" w:rsidRDefault="001E3C25" w:rsidP="009F7D3D">
      <w:pPr>
        <w:pStyle w:val="30"/>
        <w:shd w:val="clear" w:color="auto" w:fill="auto"/>
        <w:ind w:left="3480"/>
        <w:jc w:val="left"/>
      </w:pPr>
      <w:r>
        <w:t>10. Дополнительные требования</w:t>
      </w:r>
    </w:p>
    <w:p w:rsidR="000534BB" w:rsidRDefault="001E3C25" w:rsidP="009F7D3D">
      <w:pPr>
        <w:pStyle w:val="40"/>
        <w:shd w:val="clear" w:color="auto" w:fill="auto"/>
        <w:ind w:left="20" w:right="20" w:firstLine="720"/>
      </w:pPr>
      <w:r>
        <w:rPr>
          <w:rStyle w:val="40pt"/>
        </w:rPr>
        <w:t>За нарушение дисциплины во время проведения соревнований со стороны игроков и тренеров (опоздание на игру, несоблюдение календаря проведения игр и т.д.) команда, допустившая нарушения, дисквалифицируется.</w:t>
      </w:r>
    </w:p>
    <w:p w:rsidR="000534BB" w:rsidRDefault="001E3C25" w:rsidP="009F7D3D">
      <w:pPr>
        <w:pStyle w:val="40"/>
        <w:shd w:val="clear" w:color="auto" w:fill="auto"/>
        <w:ind w:left="20" w:right="20" w:firstLine="720"/>
      </w:pPr>
      <w:r>
        <w:rPr>
          <w:rStyle w:val="40pt"/>
        </w:rPr>
        <w:t>Если до начала соревнований (при ознакомлении с составом команд) выявятся отдельные игроки, не отвечающие требованиям данного Положения, то они исключаются из состава команды. Если таких игроков окажется более 6 человек в команде, то к соревнованиям не допускается вся команда.</w:t>
      </w:r>
    </w:p>
    <w:p w:rsidR="000534BB" w:rsidRDefault="000534BB">
      <w:pPr>
        <w:rPr>
          <w:sz w:val="2"/>
          <w:szCs w:val="2"/>
        </w:rPr>
        <w:sectPr w:rsidR="000534BB" w:rsidSect="009F7D3D">
          <w:pgSz w:w="11909" w:h="16838"/>
          <w:pgMar w:top="709" w:right="569" w:bottom="709" w:left="709" w:header="0" w:footer="3" w:gutter="0"/>
          <w:cols w:space="720"/>
          <w:noEndnote/>
          <w:docGrid w:linePitch="360"/>
        </w:sectPr>
      </w:pPr>
    </w:p>
    <w:p w:rsidR="000534BB" w:rsidRDefault="001E3C25" w:rsidP="001B3C0C">
      <w:pPr>
        <w:pStyle w:val="50"/>
        <w:framePr w:w="9576" w:h="1037" w:hRule="exact" w:wrap="around" w:vAnchor="page" w:hAnchor="page" w:x="3937" w:y="2041"/>
        <w:shd w:val="clear" w:color="auto" w:fill="auto"/>
        <w:spacing w:after="261" w:line="180" w:lineRule="exact"/>
        <w:ind w:left="8040"/>
      </w:pPr>
      <w:r>
        <w:lastRenderedPageBreak/>
        <w:t>Приложение</w:t>
      </w:r>
    </w:p>
    <w:p w:rsidR="000534BB" w:rsidRDefault="001E3C25" w:rsidP="001B3C0C">
      <w:pPr>
        <w:pStyle w:val="60"/>
        <w:framePr w:w="9576" w:h="1037" w:hRule="exact" w:wrap="around" w:vAnchor="page" w:hAnchor="page" w:x="3937" w:y="2041"/>
        <w:shd w:val="clear" w:color="auto" w:fill="auto"/>
        <w:spacing w:before="0" w:after="25" w:line="190" w:lineRule="exact"/>
        <w:ind w:left="4200"/>
      </w:pPr>
      <w:r>
        <w:t>ЗАЯВКА</w:t>
      </w:r>
    </w:p>
    <w:p w:rsidR="000534BB" w:rsidRDefault="001E3C25" w:rsidP="001B3C0C">
      <w:pPr>
        <w:pStyle w:val="70"/>
        <w:framePr w:w="9576" w:h="1037" w:hRule="exact" w:wrap="around" w:vAnchor="page" w:hAnchor="page" w:x="3937" w:y="2041"/>
        <w:shd w:val="clear" w:color="auto" w:fill="auto"/>
        <w:spacing w:before="0" w:line="200" w:lineRule="exact"/>
      </w:pPr>
      <w:proofErr w:type="gramStart"/>
      <w:r>
        <w:t>на участие в Первенстве Саратовской области по хоккею с шайбой среди сельских команд</w:t>
      </w:r>
      <w:proofErr w:type="gramEnd"/>
    </w:p>
    <w:p w:rsidR="000534BB" w:rsidRDefault="001E3C25" w:rsidP="001B3C0C">
      <w:pPr>
        <w:pStyle w:val="50"/>
        <w:framePr w:w="9874" w:h="499" w:hRule="exact" w:wrap="around" w:vAnchor="page" w:hAnchor="page" w:x="3400" w:y="3577"/>
        <w:shd w:val="clear" w:color="auto" w:fill="auto"/>
        <w:tabs>
          <w:tab w:val="right" w:leader="underscore" w:pos="8420"/>
          <w:tab w:val="right" w:pos="9241"/>
        </w:tabs>
        <w:spacing w:after="29" w:line="180" w:lineRule="exact"/>
        <w:ind w:left="20"/>
      </w:pPr>
      <w:r>
        <w:t>от команды</w:t>
      </w:r>
      <w:r>
        <w:tab/>
        <w:t>района</w:t>
      </w:r>
      <w:r>
        <w:tab/>
        <w:t>(города)</w:t>
      </w:r>
    </w:p>
    <w:p w:rsidR="000534BB" w:rsidRDefault="001E3C25" w:rsidP="001B3C0C">
      <w:pPr>
        <w:pStyle w:val="50"/>
        <w:framePr w:w="9874" w:h="499" w:hRule="exact" w:wrap="around" w:vAnchor="page" w:hAnchor="page" w:x="3400" w:y="3577"/>
        <w:shd w:val="clear" w:color="auto" w:fill="auto"/>
        <w:tabs>
          <w:tab w:val="left" w:leader="underscore" w:pos="9174"/>
        </w:tabs>
        <w:spacing w:after="0" w:line="180" w:lineRule="exact"/>
        <w:ind w:left="20"/>
      </w:pPr>
      <w:r>
        <w:t>организованной при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04"/>
        <w:gridCol w:w="1133"/>
        <w:gridCol w:w="1253"/>
        <w:gridCol w:w="2165"/>
        <w:gridCol w:w="1243"/>
      </w:tblGrid>
      <w:tr w:rsidR="000534BB">
        <w:trPr>
          <w:trHeight w:hRule="exact"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495pt"/>
              </w:rPr>
              <w:t>№</w:t>
            </w:r>
          </w:p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before="60" w:line="190" w:lineRule="exact"/>
              <w:ind w:left="160" w:firstLine="0"/>
              <w:jc w:val="left"/>
            </w:pPr>
            <w:proofErr w:type="gramStart"/>
            <w:r>
              <w:rPr>
                <w:rStyle w:val="495pt"/>
              </w:rPr>
              <w:t>п</w:t>
            </w:r>
            <w:proofErr w:type="gramEnd"/>
            <w:r>
              <w:rPr>
                <w:rStyle w:val="495pt"/>
              </w:rP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495pt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495pt"/>
              </w:rPr>
              <w:t>Школа,</w:t>
            </w:r>
          </w:p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495pt"/>
              </w:rPr>
              <w:t>класс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495pt"/>
              </w:rPr>
              <w:t>Дата</w:t>
            </w:r>
          </w:p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495pt"/>
              </w:rPr>
              <w:t>рождения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495pt"/>
              </w:rPr>
              <w:t>Домашний адрес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495pt"/>
              </w:rPr>
              <w:t>Виза</w:t>
            </w:r>
          </w:p>
          <w:p w:rsidR="000534BB" w:rsidRDefault="001E3C25" w:rsidP="001B3C0C">
            <w:pPr>
              <w:pStyle w:val="40"/>
              <w:framePr w:w="9864" w:h="936" w:wrap="around" w:vAnchor="page" w:hAnchor="page" w:x="3405" w:y="4546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495pt"/>
              </w:rPr>
              <w:t>врача</w:t>
            </w:r>
          </w:p>
        </w:tc>
      </w:tr>
      <w:tr w:rsidR="000534BB">
        <w:trPr>
          <w:trHeight w:hRule="exact"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4BB" w:rsidRDefault="000534BB" w:rsidP="001B3C0C">
            <w:pPr>
              <w:framePr w:w="9864" w:h="936" w:wrap="around" w:vAnchor="page" w:hAnchor="page" w:x="3405" w:y="4546"/>
              <w:rPr>
                <w:sz w:val="10"/>
                <w:szCs w:val="10"/>
              </w:rPr>
            </w:pPr>
          </w:p>
        </w:tc>
      </w:tr>
    </w:tbl>
    <w:p w:rsidR="000534BB" w:rsidRDefault="001E3C25" w:rsidP="001B3C0C">
      <w:pPr>
        <w:pStyle w:val="50"/>
        <w:framePr w:w="1795" w:h="1070" w:hRule="exact" w:wrap="around" w:vAnchor="page" w:hAnchor="page" w:x="3342" w:y="5463"/>
        <w:shd w:val="clear" w:color="auto" w:fill="auto"/>
        <w:tabs>
          <w:tab w:val="left" w:leader="underscore" w:pos="1723"/>
        </w:tabs>
        <w:spacing w:after="0" w:line="504" w:lineRule="exact"/>
        <w:ind w:right="180"/>
      </w:pPr>
      <w:r>
        <w:t>Капитан команды Тренер команды</w:t>
      </w:r>
      <w:r>
        <w:tab/>
      </w:r>
    </w:p>
    <w:p w:rsidR="000534BB" w:rsidRDefault="001E3C25" w:rsidP="001B3C0C">
      <w:pPr>
        <w:pStyle w:val="a5"/>
        <w:framePr w:wrap="around" w:vAnchor="page" w:hAnchor="page" w:x="8349" w:y="5957"/>
        <w:shd w:val="clear" w:color="auto" w:fill="auto"/>
        <w:spacing w:line="120" w:lineRule="exact"/>
      </w:pPr>
      <w:r>
        <w:t>(Ф.И.О.)</w:t>
      </w:r>
    </w:p>
    <w:p w:rsidR="000534BB" w:rsidRDefault="001E3C25" w:rsidP="001B3C0C">
      <w:pPr>
        <w:pStyle w:val="80"/>
        <w:framePr w:wrap="around" w:vAnchor="page" w:hAnchor="page" w:x="3400" w:y="6457"/>
        <w:shd w:val="clear" w:color="auto" w:fill="auto"/>
        <w:spacing w:before="0" w:line="120" w:lineRule="exact"/>
        <w:ind w:left="4240"/>
      </w:pPr>
      <w:r>
        <w:t>(Ф.И.О., контактный телефон)</w:t>
      </w:r>
    </w:p>
    <w:p w:rsidR="000534BB" w:rsidRDefault="001E3C25" w:rsidP="001B3C0C">
      <w:pPr>
        <w:pStyle w:val="50"/>
        <w:framePr w:wrap="around" w:vAnchor="page" w:hAnchor="page" w:x="3414" w:y="6706"/>
        <w:shd w:val="clear" w:color="auto" w:fill="auto"/>
        <w:spacing w:after="0" w:line="180" w:lineRule="exact"/>
      </w:pPr>
      <w:r>
        <w:t>Руководитель команды_</w:t>
      </w:r>
    </w:p>
    <w:p w:rsidR="000534BB" w:rsidRDefault="001E3C25" w:rsidP="001B3C0C">
      <w:pPr>
        <w:pStyle w:val="80"/>
        <w:framePr w:wrap="around" w:vAnchor="page" w:hAnchor="page" w:x="6856" w:y="6946"/>
        <w:shd w:val="clear" w:color="auto" w:fill="auto"/>
        <w:spacing w:before="0" w:line="120" w:lineRule="exact"/>
        <w:ind w:left="100"/>
      </w:pPr>
      <w:r>
        <w:t xml:space="preserve">(Ф.И.О., </w:t>
      </w:r>
      <w:proofErr w:type="gramStart"/>
      <w:r>
        <w:t>контактный</w:t>
      </w:r>
      <w:proofErr w:type="gramEnd"/>
      <w:r>
        <w:t xml:space="preserve"> телефона)</w:t>
      </w:r>
    </w:p>
    <w:p w:rsidR="000534BB" w:rsidRDefault="001E3C25" w:rsidP="001B3C0C">
      <w:pPr>
        <w:pStyle w:val="80"/>
        <w:framePr w:wrap="around" w:vAnchor="page" w:hAnchor="page" w:x="11205" w:y="6965"/>
        <w:shd w:val="clear" w:color="auto" w:fill="auto"/>
        <w:spacing w:before="0" w:line="120" w:lineRule="exact"/>
        <w:ind w:left="100"/>
      </w:pPr>
      <w:r>
        <w:t>(подпись)</w:t>
      </w:r>
    </w:p>
    <w:p w:rsidR="000534BB" w:rsidRDefault="001E3C25" w:rsidP="001B3C0C">
      <w:pPr>
        <w:pStyle w:val="50"/>
        <w:framePr w:w="5789" w:h="533" w:hRule="exact" w:wrap="around" w:vAnchor="page" w:hAnchor="page" w:x="3405" w:y="7460"/>
        <w:shd w:val="clear" w:color="auto" w:fill="auto"/>
        <w:spacing w:after="0" w:line="240" w:lineRule="exact"/>
        <w:ind w:right="320"/>
      </w:pPr>
      <w:r>
        <w:t>Руководитель организации, при которой создана команда_ М.П.</w:t>
      </w:r>
    </w:p>
    <w:p w:rsidR="000534BB" w:rsidRDefault="001E3C25" w:rsidP="001B3C0C">
      <w:pPr>
        <w:pStyle w:val="50"/>
        <w:framePr w:w="1114" w:h="1070" w:hRule="exact" w:wrap="around" w:vAnchor="page" w:hAnchor="page" w:x="3333" w:y="7974"/>
        <w:shd w:val="clear" w:color="auto" w:fill="auto"/>
        <w:tabs>
          <w:tab w:val="left" w:leader="underscore" w:pos="1142"/>
        </w:tabs>
        <w:spacing w:after="0" w:line="504" w:lineRule="exact"/>
        <w:ind w:left="100" w:right="180"/>
      </w:pPr>
      <w:r>
        <w:t>Допущено Врач</w:t>
      </w:r>
      <w:r>
        <w:tab/>
      </w:r>
    </w:p>
    <w:p w:rsidR="000534BB" w:rsidRDefault="001E3C25" w:rsidP="001B3C0C">
      <w:pPr>
        <w:pStyle w:val="50"/>
        <w:framePr w:wrap="around" w:vAnchor="page" w:hAnchor="page" w:x="6155" w:y="8247"/>
        <w:shd w:val="clear" w:color="auto" w:fill="auto"/>
        <w:spacing w:after="0" w:line="180" w:lineRule="exact"/>
        <w:ind w:left="100"/>
      </w:pPr>
      <w:r>
        <w:t>игроков</w:t>
      </w:r>
    </w:p>
    <w:p w:rsidR="000534BB" w:rsidRDefault="001E3C25" w:rsidP="001B3C0C">
      <w:pPr>
        <w:pStyle w:val="50"/>
        <w:framePr w:wrap="around" w:vAnchor="page" w:hAnchor="page" w:x="7566" w:y="8252"/>
        <w:shd w:val="clear" w:color="auto" w:fill="auto"/>
        <w:spacing w:after="0" w:line="180" w:lineRule="exact"/>
        <w:ind w:left="100"/>
      </w:pPr>
      <w:r>
        <w:t>М.П.</w:t>
      </w:r>
    </w:p>
    <w:p w:rsidR="000534BB" w:rsidRDefault="001E3C25" w:rsidP="001B3C0C">
      <w:pPr>
        <w:pStyle w:val="80"/>
        <w:framePr w:wrap="around" w:vAnchor="page" w:hAnchor="page" w:x="6145" w:y="8972"/>
        <w:shd w:val="clear" w:color="auto" w:fill="auto"/>
        <w:spacing w:before="0" w:line="120" w:lineRule="exact"/>
        <w:ind w:left="100"/>
      </w:pPr>
      <w:r>
        <w:t>(Ф.И.О.)</w:t>
      </w:r>
    </w:p>
    <w:p w:rsidR="000534BB" w:rsidRDefault="001E3C25" w:rsidP="001B3C0C">
      <w:pPr>
        <w:pStyle w:val="80"/>
        <w:framePr w:wrap="around" w:vAnchor="page" w:hAnchor="page" w:x="11550" w:y="8991"/>
        <w:shd w:val="clear" w:color="auto" w:fill="auto"/>
        <w:spacing w:before="0" w:line="120" w:lineRule="exact"/>
        <w:ind w:left="100"/>
      </w:pPr>
      <w:r>
        <w:t>(подпись)</w:t>
      </w:r>
    </w:p>
    <w:p w:rsidR="000534BB" w:rsidRDefault="001E3C25" w:rsidP="001B3C0C">
      <w:pPr>
        <w:pStyle w:val="90"/>
        <w:framePr w:w="6605" w:h="528" w:hRule="exact" w:wrap="around" w:vAnchor="page" w:hAnchor="page" w:x="3390" w:y="9490"/>
        <w:shd w:val="clear" w:color="auto" w:fill="auto"/>
        <w:spacing w:after="36" w:line="190" w:lineRule="exact"/>
      </w:pPr>
      <w:r>
        <w:t>Правильность заявки подтверждаю:</w:t>
      </w:r>
    </w:p>
    <w:p w:rsidR="000534BB" w:rsidRDefault="001E3C25" w:rsidP="001B3C0C">
      <w:pPr>
        <w:pStyle w:val="50"/>
        <w:framePr w:w="6605" w:h="528" w:hRule="exact" w:wrap="around" w:vAnchor="page" w:hAnchor="page" w:x="3390" w:y="9490"/>
        <w:shd w:val="clear" w:color="auto" w:fill="auto"/>
        <w:spacing w:after="0" w:line="180" w:lineRule="exact"/>
      </w:pPr>
      <w:r>
        <w:t>Руководитель органа управления физической культурой и спортом</w:t>
      </w:r>
    </w:p>
    <w:p w:rsidR="000534BB" w:rsidRDefault="001E3C25" w:rsidP="001B3C0C">
      <w:pPr>
        <w:pStyle w:val="50"/>
        <w:framePr w:wrap="around" w:vAnchor="page" w:hAnchor="page" w:x="12021" w:y="9778"/>
        <w:shd w:val="clear" w:color="auto" w:fill="auto"/>
        <w:spacing w:after="0" w:line="180" w:lineRule="exact"/>
        <w:ind w:left="100"/>
      </w:pPr>
      <w:r>
        <w:t>М.П.</w:t>
      </w:r>
    </w:p>
    <w:p w:rsidR="000534BB" w:rsidRDefault="001E3C25" w:rsidP="001B3C0C">
      <w:pPr>
        <w:pStyle w:val="80"/>
        <w:framePr w:wrap="around" w:vAnchor="page" w:hAnchor="page" w:x="10456" w:y="9989"/>
        <w:shd w:val="clear" w:color="auto" w:fill="auto"/>
        <w:spacing w:before="0" w:line="120" w:lineRule="exact"/>
        <w:ind w:left="100"/>
      </w:pPr>
      <w:r>
        <w:t>(Ф.И.О.) (подпись)</w:t>
      </w:r>
    </w:p>
    <w:p w:rsidR="000534BB" w:rsidRDefault="000534BB">
      <w:pPr>
        <w:rPr>
          <w:sz w:val="2"/>
          <w:szCs w:val="2"/>
        </w:rPr>
      </w:pPr>
    </w:p>
    <w:sectPr w:rsidR="000534BB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B5" w:rsidRDefault="000E73B5">
      <w:r>
        <w:separator/>
      </w:r>
    </w:p>
  </w:endnote>
  <w:endnote w:type="continuationSeparator" w:id="0">
    <w:p w:rsidR="000E73B5" w:rsidRDefault="000E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B5" w:rsidRDefault="000E73B5"/>
  </w:footnote>
  <w:footnote w:type="continuationSeparator" w:id="0">
    <w:p w:rsidR="000E73B5" w:rsidRDefault="000E73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C6D"/>
    <w:multiLevelType w:val="multilevel"/>
    <w:tmpl w:val="CD12E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331E8"/>
    <w:multiLevelType w:val="multilevel"/>
    <w:tmpl w:val="A7667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34BB"/>
    <w:rsid w:val="000534BB"/>
    <w:rsid w:val="0008420D"/>
    <w:rsid w:val="000E73B5"/>
    <w:rsid w:val="001B3C0C"/>
    <w:rsid w:val="001E3C25"/>
    <w:rsid w:val="005D33CF"/>
    <w:rsid w:val="006D78CA"/>
    <w:rsid w:val="009F7D3D"/>
    <w:rsid w:val="00CB515C"/>
    <w:rsid w:val="00D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95pt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95pt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2015-11-03T12:40:00Z</dcterms:created>
  <dcterms:modified xsi:type="dcterms:W3CDTF">2015-11-05T06:43:00Z</dcterms:modified>
</cp:coreProperties>
</file>